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67375" w14:textId="2D8E9B3B" w:rsidR="00454BAE" w:rsidRDefault="00454BAE" w:rsidP="00454BAE">
      <w:pPr>
        <w:spacing w:after="0" w:line="240" w:lineRule="auto"/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</w:pPr>
      <w:r w:rsidRPr="00454BAE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 xml:space="preserve">Contact: Heather West, 612-724-8760, </w:t>
      </w:r>
      <w:hyperlink r:id="rId8" w:history="1">
        <w:r w:rsidR="005E5EB6" w:rsidRPr="00454BAE">
          <w:rPr>
            <w:rStyle w:val="Hyperlink"/>
            <w:rFonts w:ascii="Aptos" w:eastAsia="Aptos" w:hAnsi="Aptos" w:cs="Times New Roman"/>
            <w:kern w:val="2"/>
            <w:sz w:val="20"/>
            <w:szCs w:val="20"/>
            <w14:ligatures w14:val="standardContextual"/>
          </w:rPr>
          <w:t>heather@heatherwestpr.com</w:t>
        </w:r>
      </w:hyperlink>
    </w:p>
    <w:p w14:paraId="08ED9ABC" w14:textId="77777777" w:rsidR="005E5EB6" w:rsidRPr="00454BAE" w:rsidRDefault="005E5EB6" w:rsidP="00454BAE">
      <w:pPr>
        <w:spacing w:after="0" w:line="240" w:lineRule="auto"/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</w:pPr>
    </w:p>
    <w:p w14:paraId="11282E37" w14:textId="77777777" w:rsidR="00454BAE" w:rsidRPr="00454BAE" w:rsidRDefault="00454BAE" w:rsidP="00454BAE">
      <w:pPr>
        <w:spacing w:after="0" w:line="240" w:lineRule="auto"/>
        <w:rPr>
          <w:rFonts w:ascii="Aptos" w:eastAsia="Aptos" w:hAnsi="Aptos" w:cs="Times New Roman"/>
          <w:b/>
          <w:bCs/>
          <w:kern w:val="2"/>
          <w:sz w:val="30"/>
          <w:szCs w:val="30"/>
          <w14:ligatures w14:val="standardContextual"/>
        </w:rPr>
      </w:pPr>
      <w:r w:rsidRPr="00454BAE">
        <w:rPr>
          <w:rFonts w:ascii="Aptos" w:eastAsia="Aptos" w:hAnsi="Aptos" w:cs="Times New Roman"/>
          <w:b/>
          <w:bCs/>
          <w:kern w:val="2"/>
          <w:sz w:val="30"/>
          <w:szCs w:val="30"/>
          <w14:ligatures w14:val="standardContextual"/>
        </w:rPr>
        <w:t>AIA Orlando Conference &amp; Expo, Sept. 12</w:t>
      </w:r>
    </w:p>
    <w:p w14:paraId="4D81BE3C" w14:textId="77777777" w:rsidR="00454BAE" w:rsidRPr="00454BAE" w:rsidRDefault="00454BAE" w:rsidP="00454BAE">
      <w:pPr>
        <w:spacing w:after="0" w:line="240" w:lineRule="auto"/>
        <w:rPr>
          <w:rFonts w:ascii="Aptos" w:eastAsia="Aptos" w:hAnsi="Aptos" w:cs="Calibri"/>
          <w:color w:val="000000"/>
          <w:kern w:val="2"/>
          <w14:ligatures w14:val="standardContextual"/>
        </w:rPr>
      </w:pPr>
    </w:p>
    <w:p w14:paraId="056BDDDD" w14:textId="77777777" w:rsidR="00454BAE" w:rsidRPr="00454BAE" w:rsidRDefault="00454BAE" w:rsidP="00454BAE">
      <w:pPr>
        <w:spacing w:after="0" w:line="240" w:lineRule="auto"/>
        <w:rPr>
          <w:rFonts w:ascii="Aptos" w:eastAsia="Aptos" w:hAnsi="Aptos" w:cs="Calibri"/>
          <w:color w:val="000000"/>
          <w:kern w:val="2"/>
          <w:sz w:val="24"/>
          <w:szCs w:val="24"/>
          <w14:ligatures w14:val="standardContextual"/>
        </w:rPr>
      </w:pPr>
      <w:r w:rsidRPr="00454BAE">
        <w:rPr>
          <w:rFonts w:ascii="Aptos" w:eastAsia="Aptos" w:hAnsi="Aptos" w:cs="Calibri"/>
          <w:color w:val="000000"/>
          <w:kern w:val="2"/>
          <w:sz w:val="24"/>
          <w:szCs w:val="24"/>
          <w14:ligatures w14:val="standardContextual"/>
        </w:rPr>
        <w:t xml:space="preserve">Apogee Architectural Framing Systems’ representatives, Marc Donahue, Kevin </w:t>
      </w:r>
      <w:proofErr w:type="gramStart"/>
      <w:r w:rsidRPr="00454BAE">
        <w:rPr>
          <w:rFonts w:ascii="Aptos" w:eastAsia="Aptos" w:hAnsi="Aptos" w:cs="Calibri"/>
          <w:color w:val="000000"/>
          <w:kern w:val="2"/>
          <w:sz w:val="24"/>
          <w:szCs w:val="24"/>
          <w14:ligatures w14:val="standardContextual"/>
        </w:rPr>
        <w:t>Haynes</w:t>
      </w:r>
      <w:proofErr w:type="gramEnd"/>
      <w:r w:rsidRPr="00454BAE">
        <w:rPr>
          <w:rFonts w:ascii="Aptos" w:eastAsia="Aptos" w:hAnsi="Aptos" w:cs="Calibri"/>
          <w:color w:val="000000"/>
          <w:kern w:val="2"/>
          <w:sz w:val="24"/>
          <w:szCs w:val="24"/>
          <w14:ligatures w14:val="standardContextual"/>
        </w:rPr>
        <w:t xml:space="preserve"> and Tim Tate, will be showcasing EFCO and </w:t>
      </w:r>
      <w:proofErr w:type="spellStart"/>
      <w:r w:rsidRPr="00454BAE">
        <w:rPr>
          <w:rFonts w:ascii="Aptos" w:eastAsia="Aptos" w:hAnsi="Aptos" w:cs="Calibri"/>
          <w:color w:val="000000"/>
          <w:kern w:val="2"/>
          <w:sz w:val="24"/>
          <w:szCs w:val="24"/>
          <w14:ligatures w14:val="standardContextual"/>
        </w:rPr>
        <w:t>Tubelite</w:t>
      </w:r>
      <w:proofErr w:type="spellEnd"/>
      <w:r w:rsidRPr="00454BAE">
        <w:rPr>
          <w:rFonts w:ascii="Aptos" w:eastAsia="Aptos" w:hAnsi="Aptos" w:cs="Calibri"/>
          <w:color w:val="000000"/>
          <w:kern w:val="2"/>
          <w:sz w:val="24"/>
          <w:szCs w:val="24"/>
          <w14:ligatures w14:val="standardContextual"/>
        </w:rPr>
        <w:t xml:space="preserve"> products in </w:t>
      </w:r>
      <w:r w:rsidRPr="00454BAE">
        <w:rPr>
          <w:rFonts w:ascii="Aptos" w:eastAsia="Aptos" w:hAnsi="Aptos" w:cs="Calibri"/>
          <w:b/>
          <w:bCs/>
          <w:color w:val="000000"/>
          <w:kern w:val="2"/>
          <w:sz w:val="24"/>
          <w:szCs w:val="24"/>
          <w14:ligatures w14:val="standardContextual"/>
        </w:rPr>
        <w:t>booth #39</w:t>
      </w:r>
      <w:r w:rsidRPr="00454BAE">
        <w:rPr>
          <w:rFonts w:ascii="Aptos" w:eastAsia="Aptos" w:hAnsi="Aptos" w:cs="Calibri"/>
          <w:color w:val="000000"/>
          <w:kern w:val="2"/>
          <w:sz w:val="24"/>
          <w:szCs w:val="24"/>
          <w14:ligatures w14:val="standardContextual"/>
        </w:rPr>
        <w:t xml:space="preserve"> at the American Institute of Architects </w:t>
      </w:r>
      <w:hyperlink r:id="rId9" w:history="1">
        <w:r w:rsidRPr="00454BAE">
          <w:rPr>
            <w:rFonts w:ascii="Aptos" w:eastAsia="Aptos" w:hAnsi="Aptos" w:cs="Calibri"/>
            <w:color w:val="467886"/>
            <w:kern w:val="2"/>
            <w:sz w:val="24"/>
            <w:szCs w:val="24"/>
            <w:u w:val="single"/>
            <w14:ligatures w14:val="standardContextual"/>
          </w:rPr>
          <w:t>(AIA) Orlando’s Annual Conference and Expo</w:t>
        </w:r>
      </w:hyperlink>
      <w:r w:rsidRPr="00454BAE">
        <w:rPr>
          <w:rFonts w:ascii="Aptos" w:eastAsia="Aptos" w:hAnsi="Aptos" w:cs="Calibri"/>
          <w:color w:val="000000"/>
          <w:kern w:val="2"/>
          <w:sz w:val="24"/>
          <w:szCs w:val="24"/>
          <w14:ligatures w14:val="standardContextual"/>
        </w:rPr>
        <w:t>. This one-day in-person event is held Sept. 12 at the DoubleTree by Hilton Orlando Downtown, 60 S. Ivanhoe Boulevard.</w:t>
      </w:r>
    </w:p>
    <w:p w14:paraId="162B2780" w14:textId="77777777" w:rsidR="00454BAE" w:rsidRPr="00454BAE" w:rsidRDefault="00454BAE" w:rsidP="00454BAE">
      <w:pPr>
        <w:spacing w:after="0" w:line="240" w:lineRule="auto"/>
        <w:rPr>
          <w:rFonts w:ascii="Aptos" w:eastAsia="Aptos" w:hAnsi="Aptos" w:cs="Calibri"/>
          <w:color w:val="000000"/>
          <w:kern w:val="2"/>
          <w:sz w:val="24"/>
          <w:szCs w:val="24"/>
          <w14:ligatures w14:val="standardContextual"/>
        </w:rPr>
      </w:pPr>
    </w:p>
    <w:p w14:paraId="10972688" w14:textId="77777777" w:rsidR="00454BAE" w:rsidRPr="00454BAE" w:rsidRDefault="00454BAE" w:rsidP="00454BAE">
      <w:pPr>
        <w:spacing w:after="0" w:line="240" w:lineRule="auto"/>
        <w:rPr>
          <w:rFonts w:ascii="Aptos" w:eastAsia="Aptos" w:hAnsi="Aptos" w:cs="Calibri"/>
          <w:color w:val="000000"/>
          <w:kern w:val="2"/>
          <w:sz w:val="24"/>
          <w:szCs w:val="24"/>
          <w14:ligatures w14:val="standardContextual"/>
        </w:rPr>
      </w:pPr>
      <w:r w:rsidRPr="00454BAE">
        <w:rPr>
          <w:rFonts w:ascii="Aptos" w:eastAsia="Aptos" w:hAnsi="Aptos" w:cs="Calibri"/>
          <w:color w:val="000000"/>
          <w:kern w:val="2"/>
          <w:sz w:val="24"/>
          <w:szCs w:val="24"/>
          <w14:ligatures w14:val="standardContextual"/>
        </w:rPr>
        <w:t xml:space="preserve">Understanding Florida’s unique climate and building requirements, EFCO and </w:t>
      </w:r>
      <w:proofErr w:type="spellStart"/>
      <w:r w:rsidRPr="00454BAE">
        <w:rPr>
          <w:rFonts w:ascii="Aptos" w:eastAsia="Aptos" w:hAnsi="Aptos" w:cs="Calibri"/>
          <w:color w:val="000000"/>
          <w:kern w:val="2"/>
          <w:sz w:val="24"/>
          <w:szCs w:val="24"/>
          <w14:ligatures w14:val="standardContextual"/>
        </w:rPr>
        <w:t>Tubelite</w:t>
      </w:r>
      <w:proofErr w:type="spellEnd"/>
      <w:r w:rsidRPr="00454BAE">
        <w:rPr>
          <w:rFonts w:ascii="Aptos" w:eastAsia="Aptos" w:hAnsi="Aptos" w:cs="Calibri"/>
          <w:color w:val="000000"/>
          <w:kern w:val="2"/>
          <w:sz w:val="24"/>
          <w:szCs w:val="24"/>
          <w14:ligatures w14:val="standardContextual"/>
        </w:rPr>
        <w:t xml:space="preserve"> offer high-performance framing systems for resilient project requirements, such as impact resistance, blast hazard mitigation and net-zero energy efficiency. We will be displaying a selection of our aluminum-framed </w:t>
      </w:r>
      <w:hyperlink r:id="rId10" w:history="1">
        <w:r w:rsidRPr="00454BAE">
          <w:rPr>
            <w:rFonts w:ascii="Aptos" w:eastAsia="Aptos" w:hAnsi="Aptos" w:cs="Calibri"/>
            <w:color w:val="467886"/>
            <w:kern w:val="2"/>
            <w:sz w:val="24"/>
            <w:szCs w:val="24"/>
            <w:u w:val="single"/>
            <w14:ligatures w14:val="standardContextual"/>
          </w:rPr>
          <w:t>windows</w:t>
        </w:r>
      </w:hyperlink>
      <w:r w:rsidRPr="00454BAE">
        <w:rPr>
          <w:rFonts w:ascii="Aptos" w:eastAsia="Aptos" w:hAnsi="Aptos" w:cs="Calibri"/>
          <w:color w:val="000000"/>
          <w:kern w:val="2"/>
          <w:sz w:val="24"/>
          <w:szCs w:val="24"/>
          <w14:ligatures w14:val="standardContextual"/>
        </w:rPr>
        <w:t xml:space="preserve">, </w:t>
      </w:r>
      <w:hyperlink r:id="rId11" w:history="1">
        <w:r w:rsidRPr="00454BAE">
          <w:rPr>
            <w:rFonts w:ascii="Aptos" w:eastAsia="Aptos" w:hAnsi="Aptos" w:cs="Calibri"/>
            <w:color w:val="467886"/>
            <w:kern w:val="2"/>
            <w:sz w:val="24"/>
            <w:szCs w:val="24"/>
            <w:u w:val="single"/>
            <w14:ligatures w14:val="standardContextual"/>
          </w:rPr>
          <w:t>doors</w:t>
        </w:r>
      </w:hyperlink>
      <w:r w:rsidRPr="00454BAE">
        <w:rPr>
          <w:rFonts w:ascii="Aptos" w:eastAsia="Aptos" w:hAnsi="Aptos" w:cs="Calibri"/>
          <w:color w:val="000000"/>
          <w:kern w:val="2"/>
          <w:sz w:val="24"/>
          <w:szCs w:val="24"/>
          <w14:ligatures w14:val="standardContextual"/>
        </w:rPr>
        <w:t xml:space="preserve"> and </w:t>
      </w:r>
      <w:hyperlink r:id="rId12" w:history="1">
        <w:r w:rsidRPr="00454BAE">
          <w:rPr>
            <w:rFonts w:ascii="Aptos" w:eastAsia="Aptos" w:hAnsi="Aptos" w:cs="Calibri"/>
            <w:color w:val="467886"/>
            <w:kern w:val="2"/>
            <w:sz w:val="24"/>
            <w:szCs w:val="24"/>
            <w:u w:val="single"/>
            <w14:ligatures w14:val="standardContextual"/>
          </w:rPr>
          <w:t>entrances</w:t>
        </w:r>
      </w:hyperlink>
      <w:r w:rsidRPr="00454BAE">
        <w:rPr>
          <w:rFonts w:ascii="Aptos" w:eastAsia="Aptos" w:hAnsi="Aptos" w:cs="Calibri"/>
          <w:color w:val="000000"/>
          <w:kern w:val="2"/>
          <w:sz w:val="24"/>
          <w:szCs w:val="24"/>
          <w14:ligatures w14:val="standardContextual"/>
        </w:rPr>
        <w:t xml:space="preserve">, </w:t>
      </w:r>
      <w:hyperlink r:id="rId13" w:history="1">
        <w:r w:rsidRPr="00454BAE">
          <w:rPr>
            <w:rFonts w:ascii="Aptos" w:eastAsia="Aptos" w:hAnsi="Aptos" w:cs="Calibri"/>
            <w:color w:val="467886"/>
            <w:kern w:val="2"/>
            <w:sz w:val="24"/>
            <w:szCs w:val="24"/>
            <w:u w:val="single"/>
            <w14:ligatures w14:val="standardContextual"/>
          </w:rPr>
          <w:t>curtainwall</w:t>
        </w:r>
      </w:hyperlink>
      <w:r w:rsidRPr="00454BAE">
        <w:rPr>
          <w:rFonts w:ascii="Aptos" w:eastAsia="Aptos" w:hAnsi="Aptos" w:cs="Calibri"/>
          <w:color w:val="000000"/>
          <w:kern w:val="2"/>
          <w:sz w:val="24"/>
          <w:szCs w:val="24"/>
          <w14:ligatures w14:val="standardContextual"/>
        </w:rPr>
        <w:t xml:space="preserve">, </w:t>
      </w:r>
      <w:hyperlink r:id="rId14" w:history="1">
        <w:r w:rsidRPr="00454BAE">
          <w:rPr>
            <w:rFonts w:ascii="Aptos" w:eastAsia="Aptos" w:hAnsi="Aptos" w:cs="Calibri"/>
            <w:color w:val="467886"/>
            <w:kern w:val="2"/>
            <w:sz w:val="24"/>
            <w:szCs w:val="24"/>
            <w:u w:val="single"/>
            <w14:ligatures w14:val="standardContextual"/>
          </w:rPr>
          <w:t>storefront</w:t>
        </w:r>
      </w:hyperlink>
      <w:r w:rsidRPr="00454BAE">
        <w:rPr>
          <w:rFonts w:ascii="Aptos" w:eastAsia="Aptos" w:hAnsi="Aptos" w:cs="Calibri"/>
          <w:color w:val="000000"/>
          <w:kern w:val="2"/>
          <w:sz w:val="24"/>
          <w:szCs w:val="24"/>
          <w14:ligatures w14:val="standardContextual"/>
        </w:rPr>
        <w:t xml:space="preserve">, </w:t>
      </w:r>
      <w:hyperlink r:id="rId15" w:history="1">
        <w:r w:rsidRPr="00454BAE">
          <w:rPr>
            <w:rFonts w:ascii="Aptos" w:eastAsia="Aptos" w:hAnsi="Aptos" w:cs="Calibri"/>
            <w:color w:val="467886"/>
            <w:kern w:val="2"/>
            <w:sz w:val="24"/>
            <w:szCs w:val="24"/>
            <w:u w:val="single"/>
            <w14:ligatures w14:val="standardContextual"/>
          </w:rPr>
          <w:t>interior wall systems</w:t>
        </w:r>
      </w:hyperlink>
      <w:r w:rsidRPr="00454BAE">
        <w:rPr>
          <w:rFonts w:ascii="Aptos" w:eastAsia="Aptos" w:hAnsi="Aptos" w:cs="Calibri"/>
          <w:color w:val="000000"/>
          <w:kern w:val="2"/>
          <w:sz w:val="24"/>
          <w:szCs w:val="24"/>
          <w14:ligatures w14:val="standardContextual"/>
        </w:rPr>
        <w:t>, and more.</w:t>
      </w:r>
    </w:p>
    <w:p w14:paraId="11ADD865" w14:textId="77777777" w:rsidR="00454BAE" w:rsidRPr="00454BAE" w:rsidRDefault="00454BAE" w:rsidP="00454BAE">
      <w:pPr>
        <w:spacing w:after="0" w:line="240" w:lineRule="auto"/>
        <w:rPr>
          <w:rFonts w:ascii="Aptos" w:eastAsia="Aptos" w:hAnsi="Aptos" w:cs="Calibri"/>
          <w:color w:val="000000"/>
          <w:kern w:val="2"/>
          <w:sz w:val="24"/>
          <w:szCs w:val="24"/>
          <w14:ligatures w14:val="standardContextual"/>
        </w:rPr>
      </w:pPr>
    </w:p>
    <w:p w14:paraId="55535BE1" w14:textId="77777777" w:rsidR="00454BAE" w:rsidRPr="00454BAE" w:rsidRDefault="00454BAE" w:rsidP="00454BAE">
      <w:pPr>
        <w:spacing w:after="0" w:line="240" w:lineRule="auto"/>
        <w:rPr>
          <w:rFonts w:ascii="Aptos" w:eastAsia="Aptos" w:hAnsi="Aptos" w:cs="Calibri"/>
          <w:color w:val="000000"/>
          <w:kern w:val="2"/>
          <w:sz w:val="24"/>
          <w:szCs w:val="24"/>
          <w14:ligatures w14:val="standardContextual"/>
        </w:rPr>
      </w:pPr>
      <w:r w:rsidRPr="00454BAE">
        <w:rPr>
          <w:rFonts w:ascii="Aptos" w:eastAsia="Aptos" w:hAnsi="Aptos" w:cs="Calibri"/>
          <w:color w:val="000000"/>
          <w:kern w:val="2"/>
          <w:sz w:val="24"/>
          <w:szCs w:val="24"/>
          <w14:ligatures w14:val="standardContextual"/>
        </w:rPr>
        <w:t>The AIA Orlando Conference begins at 10 a.m. and wraps at 8 p.m. The expo floor opens during lunch at 12 p.m. and closes at 6 p.m. Expo hours are staggered to maximize participation in the day’s activities.</w:t>
      </w:r>
    </w:p>
    <w:p w14:paraId="79F8A1A0" w14:textId="77777777" w:rsidR="00454BAE" w:rsidRPr="00454BAE" w:rsidRDefault="00454BAE" w:rsidP="00454BAE">
      <w:pPr>
        <w:spacing w:after="0" w:line="240" w:lineRule="auto"/>
        <w:rPr>
          <w:rFonts w:ascii="Aptos" w:eastAsia="Aptos" w:hAnsi="Aptos" w:cs="Calibri"/>
          <w:color w:val="000000"/>
          <w:kern w:val="2"/>
          <w:sz w:val="24"/>
          <w:szCs w:val="24"/>
          <w14:ligatures w14:val="standardContextual"/>
        </w:rPr>
      </w:pPr>
    </w:p>
    <w:p w14:paraId="525D5DA0" w14:textId="77777777" w:rsidR="00454BAE" w:rsidRPr="00454BAE" w:rsidRDefault="00454BAE" w:rsidP="00454BAE">
      <w:pPr>
        <w:spacing w:after="0" w:line="240" w:lineRule="auto"/>
        <w:rPr>
          <w:rFonts w:ascii="Aptos" w:eastAsia="Aptos" w:hAnsi="Aptos" w:cs="Calibri"/>
          <w:color w:val="000000"/>
          <w:kern w:val="2"/>
          <w:sz w:val="24"/>
          <w:szCs w:val="24"/>
          <w14:ligatures w14:val="standardContextual"/>
        </w:rPr>
      </w:pPr>
      <w:r w:rsidRPr="00454BAE">
        <w:rPr>
          <w:rFonts w:ascii="Aptos" w:eastAsia="Aptos" w:hAnsi="Aptos" w:cs="Calibri"/>
          <w:color w:val="000000"/>
          <w:kern w:val="2"/>
          <w:sz w:val="24"/>
          <w:szCs w:val="24"/>
          <w14:ligatures w14:val="standardContextual"/>
        </w:rPr>
        <w:t xml:space="preserve">Attendees have access to a choice of two continuing education tracks, member appreciation and networking events, a student exhibit and career hour, and the annual meeting. A final keynote will be presented by Kathryn Slattery, AIA, principal at Quinn Evans, the 2024 </w:t>
      </w:r>
      <w:hyperlink r:id="rId16" w:history="1">
        <w:r w:rsidRPr="00454BAE">
          <w:rPr>
            <w:rFonts w:ascii="Aptos" w:eastAsia="Aptos" w:hAnsi="Aptos" w:cs="Calibri"/>
            <w:color w:val="467886"/>
            <w:kern w:val="2"/>
            <w:sz w:val="24"/>
            <w:szCs w:val="24"/>
            <w:u w:val="single"/>
            <w14:ligatures w14:val="standardContextual"/>
          </w:rPr>
          <w:t>AIA Architecture Firm Award</w:t>
        </w:r>
      </w:hyperlink>
      <w:r w:rsidRPr="00454BAE">
        <w:rPr>
          <w:rFonts w:ascii="Aptos" w:eastAsia="Aptos" w:hAnsi="Aptos" w:cs="Calibri"/>
          <w:color w:val="000000"/>
          <w:kern w:val="2"/>
          <w:sz w:val="24"/>
          <w:szCs w:val="24"/>
          <w14:ligatures w14:val="standardContextual"/>
        </w:rPr>
        <w:t xml:space="preserve"> recipient.</w:t>
      </w:r>
    </w:p>
    <w:p w14:paraId="62DDAF8B" w14:textId="77777777" w:rsidR="00454BAE" w:rsidRPr="00454BAE" w:rsidRDefault="00454BAE" w:rsidP="00454BAE">
      <w:pPr>
        <w:spacing w:after="0" w:line="240" w:lineRule="auto"/>
        <w:rPr>
          <w:rFonts w:ascii="Aptos" w:eastAsia="Aptos" w:hAnsi="Aptos" w:cs="Calibri"/>
          <w:color w:val="000000"/>
          <w:kern w:val="2"/>
          <w:sz w:val="24"/>
          <w:szCs w:val="24"/>
          <w14:ligatures w14:val="standardContextual"/>
        </w:rPr>
      </w:pPr>
    </w:p>
    <w:p w14:paraId="6DA46154" w14:textId="77777777" w:rsidR="00454BAE" w:rsidRPr="00454BAE" w:rsidRDefault="00454BAE" w:rsidP="00454BAE">
      <w:pPr>
        <w:spacing w:after="0" w:line="240" w:lineRule="auto"/>
        <w:rPr>
          <w:rFonts w:ascii="Aptos" w:eastAsia="Aptos" w:hAnsi="Aptos" w:cs="Calibri"/>
          <w:color w:val="000000"/>
          <w:kern w:val="2"/>
          <w:sz w:val="24"/>
          <w:szCs w:val="24"/>
          <w14:ligatures w14:val="standardContextual"/>
        </w:rPr>
      </w:pPr>
      <w:r w:rsidRPr="00454BAE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Please see the complete schedule and registration information at </w:t>
      </w:r>
      <w:hyperlink r:id="rId17" w:history="1">
        <w:r w:rsidRPr="00454BAE">
          <w:rPr>
            <w:rFonts w:ascii="Aptos" w:eastAsia="Aptos" w:hAnsi="Aptos" w:cs="Times New Roman"/>
            <w:color w:val="467886"/>
            <w:kern w:val="2"/>
            <w:sz w:val="24"/>
            <w:szCs w:val="24"/>
            <w:u w:val="single"/>
            <w14:ligatures w14:val="standardContextual"/>
          </w:rPr>
          <w:t>https://www.aiaorlando.com/conferenceandexpo</w:t>
        </w:r>
      </w:hyperlink>
      <w:r w:rsidRPr="00454BAE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>.</w:t>
      </w:r>
    </w:p>
    <w:p w14:paraId="5636BAB1" w14:textId="77777777" w:rsidR="00454BAE" w:rsidRPr="00454BAE" w:rsidRDefault="00454BAE" w:rsidP="00454BAE">
      <w:pPr>
        <w:spacing w:after="0" w:line="240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</w:p>
    <w:p w14:paraId="0CA4F6CA" w14:textId="77777777" w:rsidR="00454BAE" w:rsidRPr="00454BAE" w:rsidRDefault="00454BAE" w:rsidP="00454BAE">
      <w:pPr>
        <w:spacing w:after="0" w:line="240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 w:rsidRPr="00454BAE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Follow AIA Orlando and its events on </w:t>
      </w:r>
      <w:hyperlink r:id="rId18" w:history="1">
        <w:r w:rsidRPr="00454BAE">
          <w:rPr>
            <w:rFonts w:ascii="Aptos" w:eastAsia="Aptos" w:hAnsi="Aptos" w:cs="Times New Roman"/>
            <w:color w:val="467886"/>
            <w:kern w:val="2"/>
            <w:sz w:val="24"/>
            <w:szCs w:val="24"/>
            <w:u w:val="single"/>
            <w14:ligatures w14:val="standardContextual"/>
          </w:rPr>
          <w:t>Facebook</w:t>
        </w:r>
      </w:hyperlink>
      <w:r w:rsidRPr="00454BAE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 and </w:t>
      </w:r>
      <w:hyperlink r:id="rId19" w:history="1">
        <w:r w:rsidRPr="00454BAE">
          <w:rPr>
            <w:rFonts w:ascii="Aptos" w:eastAsia="Aptos" w:hAnsi="Aptos" w:cs="Times New Roman"/>
            <w:color w:val="467886"/>
            <w:kern w:val="2"/>
            <w:sz w:val="24"/>
            <w:szCs w:val="24"/>
            <w:u w:val="single"/>
            <w14:ligatures w14:val="standardContextual"/>
          </w:rPr>
          <w:t>LinkedIn</w:t>
        </w:r>
      </w:hyperlink>
      <w:r w:rsidRPr="00454BAE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>.</w:t>
      </w:r>
    </w:p>
    <w:p w14:paraId="2F9C58BC" w14:textId="77777777" w:rsidR="00454BAE" w:rsidRPr="00454BAE" w:rsidRDefault="00454BAE" w:rsidP="00454BAE">
      <w:pPr>
        <w:spacing w:after="0" w:line="240" w:lineRule="auto"/>
        <w:jc w:val="center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</w:p>
    <w:p w14:paraId="1C04E45D" w14:textId="77777777" w:rsidR="00454BAE" w:rsidRPr="00454BAE" w:rsidRDefault="00454BAE" w:rsidP="00454BAE">
      <w:pPr>
        <w:spacing w:after="0" w:line="240" w:lineRule="auto"/>
        <w:jc w:val="center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 w:rsidRPr="00454BAE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>###</w:t>
      </w:r>
    </w:p>
    <w:p w14:paraId="6141AF44" w14:textId="5A801A9B" w:rsidR="00610216" w:rsidRPr="00CE09A2" w:rsidRDefault="00610216" w:rsidP="00454BAE">
      <w:pPr>
        <w:spacing w:after="0" w:line="240" w:lineRule="auto"/>
        <w:ind w:right="450"/>
        <w:contextualSpacing/>
        <w:rPr>
          <w:i/>
          <w:iCs/>
          <w:sz w:val="20"/>
          <w:szCs w:val="20"/>
        </w:rPr>
      </w:pPr>
    </w:p>
    <w:sectPr w:rsidR="00610216" w:rsidRPr="00CE09A2" w:rsidSect="0064429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 w:code="1"/>
      <w:pgMar w:top="3600" w:right="1440" w:bottom="30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66DB0" w14:textId="77777777" w:rsidR="00BA6795" w:rsidRDefault="00BA6795" w:rsidP="00686ACF">
      <w:pPr>
        <w:spacing w:after="0" w:line="240" w:lineRule="auto"/>
      </w:pPr>
      <w:r>
        <w:separator/>
      </w:r>
    </w:p>
  </w:endnote>
  <w:endnote w:type="continuationSeparator" w:id="0">
    <w:p w14:paraId="03CBCDBA" w14:textId="77777777" w:rsidR="00BA6795" w:rsidRDefault="00BA6795" w:rsidP="00686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DokChampa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FFFAE" w14:textId="77777777" w:rsidR="000B6921" w:rsidRDefault="000B69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798B3" w14:textId="77777777" w:rsidR="00686ACF" w:rsidRDefault="00686ACF">
    <w:pPr>
      <w:pStyle w:val="Footer"/>
    </w:pPr>
  </w:p>
  <w:p w14:paraId="4FE9F2BA" w14:textId="77777777" w:rsidR="00686ACF" w:rsidRDefault="00686A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BFA78" w14:textId="77777777" w:rsidR="000B6921" w:rsidRDefault="000B6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70BA5" w14:textId="77777777" w:rsidR="00BA6795" w:rsidRDefault="00BA6795" w:rsidP="00686ACF">
      <w:pPr>
        <w:spacing w:after="0" w:line="240" w:lineRule="auto"/>
      </w:pPr>
      <w:r>
        <w:separator/>
      </w:r>
    </w:p>
  </w:footnote>
  <w:footnote w:type="continuationSeparator" w:id="0">
    <w:p w14:paraId="53723C34" w14:textId="77777777" w:rsidR="00BA6795" w:rsidRDefault="00BA6795" w:rsidP="00686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68FAC" w14:textId="48DD6082" w:rsidR="008E51D9" w:rsidRDefault="008E51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CFBC3" w14:textId="6FCC3F67" w:rsidR="008E51D9" w:rsidRDefault="00715DDA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4F39E80" wp14:editId="2559895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4360" cy="1006093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360" cy="10060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5AAF4" w14:textId="1794F73B" w:rsidR="008E51D9" w:rsidRDefault="008E51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62CBF"/>
    <w:multiLevelType w:val="hybridMultilevel"/>
    <w:tmpl w:val="C3BA3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013FC"/>
    <w:multiLevelType w:val="hybridMultilevel"/>
    <w:tmpl w:val="E0EC8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8E0BD5"/>
    <w:multiLevelType w:val="hybridMultilevel"/>
    <w:tmpl w:val="5AE0E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D66F7"/>
    <w:multiLevelType w:val="hybridMultilevel"/>
    <w:tmpl w:val="9F8C6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6210D7"/>
    <w:multiLevelType w:val="multilevel"/>
    <w:tmpl w:val="94368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4A"/>
    <w:rsid w:val="0002487E"/>
    <w:rsid w:val="00031C38"/>
    <w:rsid w:val="00034A56"/>
    <w:rsid w:val="000402C6"/>
    <w:rsid w:val="000B6921"/>
    <w:rsid w:val="000B745A"/>
    <w:rsid w:val="00167F5D"/>
    <w:rsid w:val="001761BA"/>
    <w:rsid w:val="00187987"/>
    <w:rsid w:val="001A72D7"/>
    <w:rsid w:val="001B5B35"/>
    <w:rsid w:val="001E6694"/>
    <w:rsid w:val="002113B4"/>
    <w:rsid w:val="00212490"/>
    <w:rsid w:val="002514A5"/>
    <w:rsid w:val="0027659D"/>
    <w:rsid w:val="002A1750"/>
    <w:rsid w:val="002F394E"/>
    <w:rsid w:val="002F3A30"/>
    <w:rsid w:val="00321915"/>
    <w:rsid w:val="00346AB3"/>
    <w:rsid w:val="00370CAE"/>
    <w:rsid w:val="00393CA4"/>
    <w:rsid w:val="003A7FE6"/>
    <w:rsid w:val="003C03A7"/>
    <w:rsid w:val="003D1B2C"/>
    <w:rsid w:val="003F026F"/>
    <w:rsid w:val="00423B0E"/>
    <w:rsid w:val="0042462C"/>
    <w:rsid w:val="004501C3"/>
    <w:rsid w:val="004528E8"/>
    <w:rsid w:val="00454BAE"/>
    <w:rsid w:val="00475ACB"/>
    <w:rsid w:val="004B2673"/>
    <w:rsid w:val="004B5E10"/>
    <w:rsid w:val="004F6364"/>
    <w:rsid w:val="00510086"/>
    <w:rsid w:val="005265E1"/>
    <w:rsid w:val="005425E4"/>
    <w:rsid w:val="00577E80"/>
    <w:rsid w:val="005E008E"/>
    <w:rsid w:val="005E144A"/>
    <w:rsid w:val="005E5EB6"/>
    <w:rsid w:val="005E7B0B"/>
    <w:rsid w:val="005F0342"/>
    <w:rsid w:val="00610216"/>
    <w:rsid w:val="00610726"/>
    <w:rsid w:val="006251AB"/>
    <w:rsid w:val="0062776E"/>
    <w:rsid w:val="00644299"/>
    <w:rsid w:val="00663121"/>
    <w:rsid w:val="00676E43"/>
    <w:rsid w:val="006773D6"/>
    <w:rsid w:val="006829BA"/>
    <w:rsid w:val="00685568"/>
    <w:rsid w:val="0068680A"/>
    <w:rsid w:val="00686ACF"/>
    <w:rsid w:val="006F22DD"/>
    <w:rsid w:val="0071180B"/>
    <w:rsid w:val="007119B9"/>
    <w:rsid w:val="00715DDA"/>
    <w:rsid w:val="00733896"/>
    <w:rsid w:val="0074714B"/>
    <w:rsid w:val="007540B6"/>
    <w:rsid w:val="007805D1"/>
    <w:rsid w:val="00796C54"/>
    <w:rsid w:val="007D1673"/>
    <w:rsid w:val="00800CB9"/>
    <w:rsid w:val="00812AF9"/>
    <w:rsid w:val="00831D50"/>
    <w:rsid w:val="00834F7B"/>
    <w:rsid w:val="00835719"/>
    <w:rsid w:val="008814C5"/>
    <w:rsid w:val="00882064"/>
    <w:rsid w:val="008A4C6F"/>
    <w:rsid w:val="008B1F9F"/>
    <w:rsid w:val="008E51D9"/>
    <w:rsid w:val="008E655A"/>
    <w:rsid w:val="00932F20"/>
    <w:rsid w:val="00933F69"/>
    <w:rsid w:val="00970488"/>
    <w:rsid w:val="009830C7"/>
    <w:rsid w:val="009841FD"/>
    <w:rsid w:val="00991E2C"/>
    <w:rsid w:val="0099463B"/>
    <w:rsid w:val="009A7734"/>
    <w:rsid w:val="009E72DC"/>
    <w:rsid w:val="009F6BCA"/>
    <w:rsid w:val="00A03B09"/>
    <w:rsid w:val="00A157F1"/>
    <w:rsid w:val="00A2001C"/>
    <w:rsid w:val="00A226FD"/>
    <w:rsid w:val="00A3075D"/>
    <w:rsid w:val="00A60074"/>
    <w:rsid w:val="00A6371E"/>
    <w:rsid w:val="00A771BB"/>
    <w:rsid w:val="00A801D1"/>
    <w:rsid w:val="00A82EB2"/>
    <w:rsid w:val="00A86080"/>
    <w:rsid w:val="00A8692D"/>
    <w:rsid w:val="00AC2EE9"/>
    <w:rsid w:val="00AE365B"/>
    <w:rsid w:val="00AE5EB5"/>
    <w:rsid w:val="00B06AA7"/>
    <w:rsid w:val="00B21BE0"/>
    <w:rsid w:val="00B53C7D"/>
    <w:rsid w:val="00B5537A"/>
    <w:rsid w:val="00B556C2"/>
    <w:rsid w:val="00B64692"/>
    <w:rsid w:val="00B91BC2"/>
    <w:rsid w:val="00BA6795"/>
    <w:rsid w:val="00BA7742"/>
    <w:rsid w:val="00BC69C6"/>
    <w:rsid w:val="00BE5C8F"/>
    <w:rsid w:val="00BF0CB2"/>
    <w:rsid w:val="00C14CF0"/>
    <w:rsid w:val="00C37ACD"/>
    <w:rsid w:val="00C930EF"/>
    <w:rsid w:val="00C94843"/>
    <w:rsid w:val="00CB0CE4"/>
    <w:rsid w:val="00CC450E"/>
    <w:rsid w:val="00CE09A2"/>
    <w:rsid w:val="00CE784F"/>
    <w:rsid w:val="00D409F7"/>
    <w:rsid w:val="00D56EA1"/>
    <w:rsid w:val="00D70F14"/>
    <w:rsid w:val="00D9361E"/>
    <w:rsid w:val="00DB3CBC"/>
    <w:rsid w:val="00DB6DEB"/>
    <w:rsid w:val="00DE18B5"/>
    <w:rsid w:val="00DF2BA3"/>
    <w:rsid w:val="00E22F05"/>
    <w:rsid w:val="00E57A29"/>
    <w:rsid w:val="00E610A0"/>
    <w:rsid w:val="00E6366C"/>
    <w:rsid w:val="00E756C9"/>
    <w:rsid w:val="00E834C8"/>
    <w:rsid w:val="00EE0CE3"/>
    <w:rsid w:val="00EE7E6B"/>
    <w:rsid w:val="00F01C51"/>
    <w:rsid w:val="00F143E2"/>
    <w:rsid w:val="00F20DDE"/>
    <w:rsid w:val="00F44524"/>
    <w:rsid w:val="00F64630"/>
    <w:rsid w:val="00FB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C3608"/>
  <w15:docId w15:val="{5B50FDF1-0E8C-4268-935D-52C9D454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6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ACF"/>
  </w:style>
  <w:style w:type="paragraph" w:styleId="Footer">
    <w:name w:val="footer"/>
    <w:basedOn w:val="Normal"/>
    <w:link w:val="FooterChar"/>
    <w:uiPriority w:val="99"/>
    <w:unhideWhenUsed/>
    <w:rsid w:val="00686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ACF"/>
  </w:style>
  <w:style w:type="paragraph" w:styleId="BalloonText">
    <w:name w:val="Balloon Text"/>
    <w:basedOn w:val="Normal"/>
    <w:link w:val="BalloonTextChar"/>
    <w:uiPriority w:val="99"/>
    <w:semiHidden/>
    <w:unhideWhenUsed/>
    <w:rsid w:val="00686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AC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F3A30"/>
    <w:pPr>
      <w:spacing w:after="0" w:line="280" w:lineRule="exac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F3A30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Hyperlink">
    <w:name w:val="Hyperlink"/>
    <w:rsid w:val="002F3A30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2F3A30"/>
    <w:pPr>
      <w:spacing w:after="60" w:line="240" w:lineRule="auto"/>
      <w:jc w:val="center"/>
      <w:outlineLvl w:val="1"/>
    </w:pPr>
    <w:rPr>
      <w:rFonts w:ascii="Calibri" w:eastAsia="MS Gothic" w:hAnsi="Calibr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F3A30"/>
    <w:rPr>
      <w:rFonts w:ascii="Calibri" w:eastAsia="MS Gothic" w:hAnsi="Calibr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A4C6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B3CB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B1F9F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tubeliteusa.com/products/curtainwall/" TargetMode="External"/><Relationship Id="rId18" Type="http://schemas.openxmlformats.org/officeDocument/2006/relationships/hyperlink" Target="https://www.facebook.com/aiaorlando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tubeliteusa.com/products/entrances/" TargetMode="External"/><Relationship Id="rId17" Type="http://schemas.openxmlformats.org/officeDocument/2006/relationships/hyperlink" Target="https://www.aiaorlando.com/conferenceandexpo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aia.org/about-aia/press/quinn-evans-receives-aia-architecture-firm-award-202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fcocorp.com/products/entrances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tubeliteusa.com/products/interior-framing/int14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efcocorp.com/products/windows" TargetMode="External"/><Relationship Id="rId19" Type="http://schemas.openxmlformats.org/officeDocument/2006/relationships/hyperlink" Target="https://www.linkedin.com/company/aia-orland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iaorlando.com/conferenceandexpo" TargetMode="External"/><Relationship Id="rId14" Type="http://schemas.openxmlformats.org/officeDocument/2006/relationships/hyperlink" Target="https://tubeliteusa.com/products/storefront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stin.zajichek\Documents\Custom%20Office%20Templates\Architectural%20Framing%20Systems%20Letterhead_Apogee.dotx" TargetMode="Externa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77DDA-CFF5-40F4-AD4F-34700A80A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Architectural Framing Systems Letterhead_Apogee</Template>
  <TotalTime>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Apogee Enterprises, Inc.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Zajichek, Austin</dc:creator>
  <cp:lastModifiedBy>Barchak, Sara</cp:lastModifiedBy>
  <cp:revision>3</cp:revision>
  <cp:lastPrinted>2024-03-21T13:57:00Z</cp:lastPrinted>
  <dcterms:created xsi:type="dcterms:W3CDTF">2024-08-14T22:02:00Z</dcterms:created>
  <dcterms:modified xsi:type="dcterms:W3CDTF">2024-08-14T22:03:00Z</dcterms:modified>
</cp:coreProperties>
</file>